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napToGrid w:val="0"/>
        <w:spacing w:line="560" w:lineRule="exact"/>
        <w:jc w:val="left"/>
        <w:textAlignment w:val="auto"/>
        <w:rPr>
          <w:rFonts w:hint="default" w:ascii="黑体" w:hAnsi="黑体" w:eastAsia="黑体" w:cs="黑体"/>
          <w:snapToGrid w:val="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市科技重大专项“揭榜挂帅”项目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br w:type="textWrapping"/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实施方案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（修订）</w:t>
      </w:r>
    </w:p>
    <w:p>
      <w:pPr>
        <w:pStyle w:val="6"/>
        <w:keepNext w:val="0"/>
        <w:keepLines w:val="0"/>
        <w:pageBreakBefore w:val="0"/>
        <w:widowControl/>
        <w:kinsoku/>
        <w:wordWrap/>
        <w:topLinePunct w:val="0"/>
        <w:bidi w:val="0"/>
        <w:spacing w:after="0" w:line="560" w:lineRule="exact"/>
        <w:ind w:left="420"/>
        <w:jc w:val="left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根据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市委市政府统一部署，制定市科技重大专项“揭榜挂帅”项目实施方案。</w:t>
      </w:r>
    </w:p>
    <w:p>
      <w:pPr>
        <w:keepNext w:val="0"/>
        <w:keepLines w:val="0"/>
        <w:pageBreakBefore w:val="0"/>
        <w:widowControl/>
        <w:tabs>
          <w:tab w:val="left" w:pos="6754"/>
        </w:tabs>
        <w:kinsoku/>
        <w:wordWrap/>
        <w:topLinePunct w:val="0"/>
        <w:bidi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一、支持原则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1.坚持技术标准参数化。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对标国际先进指标开展研发，实现进口替代；突出无中生有，抢占技术制高点。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2.坚持技术成果产品化。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形成终端产品、成套设备、核心元器件、软件、新材料、新品种、新药等。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3.坚持技术研发协同化。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企业出卷、院所答卷、市场阅卷。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4.坚持财政资金放大化。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市财政资金不超过揭榜金额的50%，撬动社会资金投入。</w:t>
      </w:r>
    </w:p>
    <w:p>
      <w:pPr>
        <w:keepNext w:val="0"/>
        <w:keepLines w:val="0"/>
        <w:pageBreakBefore w:val="0"/>
        <w:widowControl/>
        <w:tabs>
          <w:tab w:val="left" w:pos="6754"/>
        </w:tabs>
        <w:kinsoku/>
        <w:wordWrap/>
        <w:topLinePunct w:val="0"/>
        <w:bidi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二、支持领域与对象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1.支持领域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。聚焦集成电路、新型显示、量子、空天信息、人工智能、新能源汽车和智能网联汽车、生物医药、新材料、高端装备、节能环保、光伏及新能源、种质资源等重点产业链“卡脖子”技术、关键共性技术；聚焦类脑智能、高温超导储能、超高温磁场共振成像、精准医疗、大基因、第三代半导体等未来先导产业的前沿引领技术、颠覆性技术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2.支持对象。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发榜方为具有独立法人资格的企业，上年度研发投入不低于销售收入的3%或研发投入不低于5000万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元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。揭榜方原则上为高校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科研院所、新型研发机构、国家高新技术企业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以及团队和个人。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揭榜方和发榜方没有关联关系。项目揭榜金额不低于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00万元。</w:t>
      </w:r>
    </w:p>
    <w:p>
      <w:pPr>
        <w:keepNext w:val="0"/>
        <w:keepLines w:val="0"/>
        <w:pageBreakBefore w:val="0"/>
        <w:widowControl/>
        <w:tabs>
          <w:tab w:val="left" w:pos="6754"/>
        </w:tabs>
        <w:kinsoku/>
        <w:wordWrap/>
        <w:topLinePunct w:val="0"/>
        <w:bidi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三、立项过程与服务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1.申报审查。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项目实行全年常态化需求征集，定期组织项目揭榜发榜和申报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明确申报对象及条件，发榜方提出的重大技术需求原则上与单位主营业务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  <w:lang w:eastAsia="zh-CN"/>
        </w:rPr>
        <w:t>及其需求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</w:rPr>
        <w:t>紧密相关，明确产业领域、技术领域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highlight w:val="none"/>
        </w:rPr>
        <w:t>技术指标和交付成果等。市科技局组织对申报材料进行形式审查。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highlight w:val="none"/>
        </w:rPr>
        <w:t>2.揭榜入库。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</w:rPr>
        <w:t>对形式审查通过的项目进行公开发榜，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  <w:lang w:eastAsia="zh-CN"/>
        </w:rPr>
        <w:t>通过路演、双需对接等方式积极促进对接揭榜，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</w:rPr>
        <w:t>成功揭榜的项目纳入市重大科技项目库，入库项目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highlight w:val="none"/>
          <w:lang w:eastAsia="zh-CN"/>
        </w:rPr>
        <w:t>按年度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动态调整、梯次培育。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3.评审推荐。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对入库项目组织技术、产业专家、投资专家进行评审提出拟支持项目，评审包括会议答辩与实地考察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（会议答辩阶段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材料评审与答辩分值权重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各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占60%、40%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会议答辩与实地考察分值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权重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各占50%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提交市科技局集体审议。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4.审定立项。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eastAsia="zh-CN"/>
        </w:rPr>
        <w:t>经部门联审查重和公开公示后，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由分管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副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市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长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牵头，市科技局、市发改委、市经信局、市财政局、市投促局等部门参加，对评审结果进行把关，报市政府审定。根据审定结果，市科技局下达立项计划。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5.资金拨付。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对成功揭榜并立项的项目，市财政给予发榜方单个项目最高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00万元支持。项目实施期3年，医药领域等个别项目实施期可为5年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，财政支持资金分年度拨付，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立项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拨付首笔款项，不超过发榜方向揭榜方拨付首笔资金的50%，且不超过财政资金的50%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，次年度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拨付资金不超过财政资金的80%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5年期项目第3年拨付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项目验收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通过后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拨付剩余资金。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6.绩效管理。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项目承担单位辖区科技主管部门为项目归口管理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部门。归口管理部门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要加强项目过程管理，指导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承担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单位编制绩效目标，开展绩效运行监控，强化绩效评价结果公开和运用。项目承担单位要切实加强绩效管理，引导科研资源向优秀人才和团队倾斜，提高科研经费使用效益。</w:t>
      </w:r>
    </w:p>
    <w:p>
      <w:pPr>
        <w:keepNext w:val="0"/>
        <w:keepLines w:val="0"/>
        <w:pageBreakBefore w:val="0"/>
        <w:widowControl/>
        <w:tabs>
          <w:tab w:val="left" w:pos="6754"/>
        </w:tabs>
        <w:kinsoku/>
        <w:wordWrap/>
        <w:topLinePunct w:val="0"/>
        <w:bidi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四、有关责任与说明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申报单位对申报材料的真实性负责，辖区科技主管部门对审核推荐负责，评审专家对出具意见的客观公正性负责。对弄虚作假，骗取资金的，予以撤销项目追回财政资金，并纳入合肥市产业政策综合服务平台黑名单库，2年内不得申报各类政策项目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情节严重的，将依法追究相关单位和人员责任。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市科技重大专项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eastAsia="zh-CN"/>
        </w:rPr>
        <w:t>项目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评价指标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60" w:lineRule="exact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br w:type="page"/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topLinePunct w:val="0"/>
        <w:bidi w:val="0"/>
        <w:spacing w:line="560" w:lineRule="exact"/>
        <w:jc w:val="center"/>
        <w:textAlignment w:val="auto"/>
        <w:rPr>
          <w:rFonts w:hint="default" w:ascii="Times New Roman" w:hAnsi="Times New Roman" w:eastAsia="方正黑体_GBK" w:cs="Times New Roman"/>
          <w:bCs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黑体_GBK" w:cs="Times New Roman"/>
          <w:sz w:val="44"/>
          <w:szCs w:val="44"/>
        </w:rPr>
        <w:t>市</w:t>
      </w:r>
      <w:r>
        <w:rPr>
          <w:rFonts w:hint="default" w:ascii="Times New Roman" w:hAnsi="Times New Roman" w:eastAsia="方正黑体_GBK" w:cs="Times New Roman"/>
          <w:bCs/>
          <w:sz w:val="44"/>
          <w:szCs w:val="44"/>
          <w:shd w:val="clear" w:color="auto" w:fill="FFFFFF"/>
        </w:rPr>
        <w:t>科技重大专项评价指标</w:t>
      </w:r>
    </w:p>
    <w:tbl>
      <w:tblPr>
        <w:tblStyle w:val="4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6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21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topLinePunct w:val="0"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指标</w:t>
            </w: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topLinePunct w:val="0"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评价内容及标准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127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技术水平</w:t>
            </w:r>
          </w:p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（分值40分）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（对比国际主要产品及技术参数指标）</w:t>
            </w: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高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：前沿引领技术、颠覆性技术、国际首创或国际领先（35—40分）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127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较高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：实现进口替代，且解决关键“卡脖子”问题（25—34分）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127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：实现进口替代，非“卡脖子”问题（10—24分）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127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：常规技术（0—9分）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127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成果形式</w:t>
            </w:r>
          </w:p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（分值20分）</w:t>
            </w: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有独立成套（件）的关键产品设备及核心元器件（15—20分）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127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关键新材料、成套系统或应用软件、动植物新品种、新药等（0—14分）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127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市场前景</w:t>
            </w:r>
          </w:p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（分值20分）</w:t>
            </w: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高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：有重大产业化价值，市场容量巨大，规模化生产和常态化应用前景非常广阔（15—20分）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127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：有较强产业化价值，市场容量较大，规模化生产和常态化应用前景较为广阔（10—14分）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127" w:type="dxa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：有一定产业化价值，在部分产业领域有一定的规模化生产和常态化应用前景（0—9分）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127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企业配套能力（分值20分）</w:t>
            </w: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高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：企业经营状况优异，研发投入资金充裕，高度匹配项目研发工作（15—20分）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127" w:type="dxa"/>
            <w:vMerge w:val="continue"/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中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：企业经营状况良好，有较大研发投入资金，较好匹配项目研发工作（10—14分）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127" w:type="dxa"/>
            <w:vMerge w:val="continue"/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69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kern w:val="0"/>
                <w:sz w:val="32"/>
                <w:szCs w:val="32"/>
              </w:rPr>
              <w:t>低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：企业经营状况一般，有一定研发投入资金，与项目研发工作有一定匹配度（0—9分）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MDcxZWQwZmViMGEyZjdlNzA4Mjc3MmRhNzIzMDUifQ=="/>
  </w:docVars>
  <w:rsids>
    <w:rsidRoot w:val="7DEA6CCE"/>
    <w:rsid w:val="1C2F2E9F"/>
    <w:rsid w:val="4C5B6BA2"/>
    <w:rsid w:val="7DEA6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Autospacing="0"/>
    </w:pPr>
  </w:style>
  <w:style w:type="paragraph" w:customStyle="1" w:styleId="6">
    <w:name w:val="BodyTextIndent2"/>
    <w:qFormat/>
    <w:uiPriority w:val="0"/>
    <w:pPr>
      <w:widowControl/>
      <w:suppressAutoHyphens/>
      <w:spacing w:after="120" w:line="480" w:lineRule="auto"/>
      <w:ind w:left="200" w:leftChars="200"/>
      <w:jc w:val="left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1783</Words>
  <Characters>1864</Characters>
  <Lines>0</Lines>
  <Paragraphs>0</Paragraphs>
  <TotalTime>2</TotalTime>
  <ScaleCrop>false</ScaleCrop>
  <LinksUpToDate>false</LinksUpToDate>
  <CharactersWithSpaces>1864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2023-09-01T02:28:00Z</dcterms:created>
  <dc:creator>熊世勇</dc:creator>
  <cp:lastModifiedBy>素琴</cp:lastModifiedBy>
  <dcterms:modified xsi:type="dcterms:W3CDTF">2023-09-08T06:35:36Z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DD1AD2807E4C4786BF45F997F96F7B11_13</vt:lpwstr>
  </property>
</Properties>
</file>