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0AC76D">
      <w:pPr>
        <w:widowControl w:val="0"/>
        <w:suppressAutoHyphens/>
        <w:spacing w:line="560" w:lineRule="exact"/>
        <w:textAlignment w:val="auto"/>
        <w:rPr>
          <w:rFonts w:asciiTheme="majorHAnsi" w:hAnsiTheme="majorHAnsi" w:eastAsiaTheme="majorEastAsia" w:cstheme="majorHAnsi"/>
          <w:szCs w:val="32"/>
        </w:rPr>
      </w:pPr>
      <w:bookmarkStart w:id="0" w:name="_GoBack"/>
      <w:bookmarkEnd w:id="0"/>
      <w:r>
        <w:rPr>
          <w:rFonts w:hint="eastAsia" w:cs="Times New Roman" w:asciiTheme="majorEastAsia" w:hAnsiTheme="majorEastAsia" w:eastAsiaTheme="majorEastAsia"/>
          <w:szCs w:val="32"/>
        </w:rPr>
        <w:t>附件</w:t>
      </w:r>
      <w:r>
        <w:rPr>
          <w:rFonts w:hint="eastAsia" w:asciiTheme="majorHAnsi" w:hAnsiTheme="majorHAnsi" w:eastAsiaTheme="majorEastAsia" w:cstheme="majorHAnsi"/>
          <w:szCs w:val="32"/>
        </w:rPr>
        <w:t>3</w:t>
      </w:r>
    </w:p>
    <w:p w14:paraId="44C02ED8">
      <w:pPr>
        <w:pStyle w:val="2"/>
        <w:spacing w:after="0" w:line="560" w:lineRule="exact"/>
        <w:ind w:firstLine="0" w:firstLineChars="0"/>
      </w:pPr>
    </w:p>
    <w:p w14:paraId="2061E201">
      <w:pPr>
        <w:widowControl w:val="0"/>
        <w:suppressAutoHyphens/>
        <w:spacing w:line="560" w:lineRule="exact"/>
        <w:jc w:val="center"/>
        <w:textAlignment w:val="auto"/>
        <w:rPr>
          <w:rFonts w:ascii="方正小标宋简体" w:hAnsi="Times New Roman" w:eastAsia="方正小标宋简体" w:cs="Times New Roman"/>
          <w:bCs/>
          <w:sz w:val="44"/>
          <w:szCs w:val="44"/>
          <w:shd w:val="clear" w:color="auto" w:fill="FFFFFF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合肥市科技攻关“揭榜挂帅”</w:t>
      </w:r>
      <w:r>
        <w:rPr>
          <w:rFonts w:hint="eastAsia" w:ascii="方正小标宋简体" w:hAnsi="Times New Roman" w:eastAsia="方正小标宋简体" w:cs="Times New Roman"/>
          <w:bCs/>
          <w:sz w:val="44"/>
          <w:szCs w:val="44"/>
          <w:shd w:val="clear" w:color="auto" w:fill="FFFFFF"/>
        </w:rPr>
        <w:t>项目</w:t>
      </w:r>
    </w:p>
    <w:p w14:paraId="401A209D">
      <w:pPr>
        <w:widowControl w:val="0"/>
        <w:suppressAutoHyphens/>
        <w:spacing w:line="560" w:lineRule="exact"/>
        <w:jc w:val="center"/>
        <w:textAlignment w:val="auto"/>
        <w:rPr>
          <w:rFonts w:ascii="方正小标宋简体" w:hAnsi="Times New Roman" w:eastAsia="方正小标宋简体" w:cs="Times New Roman"/>
          <w:bCs/>
          <w:sz w:val="44"/>
          <w:szCs w:val="44"/>
          <w:shd w:val="clear" w:color="auto" w:fill="FFFFFF"/>
        </w:rPr>
      </w:pPr>
      <w:r>
        <w:rPr>
          <w:rFonts w:hint="eastAsia" w:ascii="方正小标宋简体" w:hAnsi="Times New Roman" w:eastAsia="方正小标宋简体" w:cs="Times New Roman"/>
          <w:bCs/>
          <w:sz w:val="44"/>
          <w:szCs w:val="44"/>
          <w:shd w:val="clear" w:color="auto" w:fill="FFFFFF"/>
        </w:rPr>
        <w:t>评价指标（参考）</w:t>
      </w:r>
    </w:p>
    <w:p w14:paraId="736F53B4">
      <w:pPr>
        <w:pStyle w:val="2"/>
        <w:spacing w:after="0"/>
        <w:ind w:firstLine="0" w:firstLineChars="0"/>
        <w:jc w:val="center"/>
      </w:pPr>
    </w:p>
    <w:tbl>
      <w:tblPr>
        <w:tblStyle w:val="8"/>
        <w:tblW w:w="90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7"/>
        <w:gridCol w:w="6836"/>
      </w:tblGrid>
      <w:tr w14:paraId="35088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217" w:type="dxa"/>
            <w:noWrap/>
            <w:vAlign w:val="center"/>
          </w:tcPr>
          <w:p w14:paraId="25D90FD2">
            <w:pPr>
              <w:suppressAutoHyphens/>
              <w:adjustRightInd w:val="0"/>
              <w:snapToGrid w:val="0"/>
              <w:jc w:val="center"/>
              <w:textAlignment w:val="auto"/>
              <w:rPr>
                <w:rFonts w:hint="eastAsia" w:asciiTheme="majorEastAsia" w:hAnsiTheme="majorEastAsia" w:eastAsiaTheme="majorEastAsia" w:cstheme="majorHAnsi"/>
                <w:kern w:val="0"/>
                <w:sz w:val="28"/>
                <w:szCs w:val="28"/>
              </w:rPr>
            </w:pPr>
            <w:r>
              <w:rPr>
                <w:rFonts w:asciiTheme="majorEastAsia" w:hAnsiTheme="majorEastAsia" w:eastAsiaTheme="majorEastAsia" w:cstheme="majorHAnsi"/>
                <w:kern w:val="0"/>
                <w:sz w:val="28"/>
                <w:szCs w:val="28"/>
              </w:rPr>
              <w:t>指标</w:t>
            </w:r>
          </w:p>
        </w:tc>
        <w:tc>
          <w:tcPr>
            <w:tcW w:w="6836" w:type="dxa"/>
            <w:noWrap/>
            <w:vAlign w:val="center"/>
          </w:tcPr>
          <w:p w14:paraId="1340B911">
            <w:pPr>
              <w:suppressAutoHyphens/>
              <w:adjustRightInd w:val="0"/>
              <w:snapToGrid w:val="0"/>
              <w:jc w:val="center"/>
              <w:textAlignment w:val="auto"/>
              <w:rPr>
                <w:rFonts w:hint="eastAsia" w:asciiTheme="majorEastAsia" w:hAnsiTheme="majorEastAsia" w:eastAsiaTheme="majorEastAsia" w:cstheme="majorHAnsi"/>
                <w:kern w:val="0"/>
                <w:sz w:val="28"/>
                <w:szCs w:val="28"/>
              </w:rPr>
            </w:pPr>
            <w:r>
              <w:rPr>
                <w:rFonts w:asciiTheme="majorEastAsia" w:hAnsiTheme="majorEastAsia" w:eastAsiaTheme="majorEastAsia" w:cstheme="majorHAnsi"/>
                <w:kern w:val="0"/>
                <w:sz w:val="28"/>
                <w:szCs w:val="28"/>
              </w:rPr>
              <w:t>评价内容及标准</w:t>
            </w:r>
          </w:p>
        </w:tc>
      </w:tr>
      <w:tr w14:paraId="16349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217" w:type="dxa"/>
            <w:vMerge w:val="restart"/>
            <w:noWrap/>
            <w:vAlign w:val="center"/>
          </w:tcPr>
          <w:p w14:paraId="238F1864">
            <w:pPr>
              <w:suppressAutoHyphens/>
              <w:adjustRightInd w:val="0"/>
              <w:snapToGrid w:val="0"/>
              <w:jc w:val="center"/>
              <w:textAlignment w:val="auto"/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  <w:t>技术水平</w:t>
            </w:r>
          </w:p>
          <w:p w14:paraId="30609298">
            <w:pPr>
              <w:suppressAutoHyphens/>
              <w:adjustRightInd w:val="0"/>
              <w:snapToGrid w:val="0"/>
              <w:jc w:val="center"/>
              <w:textAlignment w:val="auto"/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  <w:t>（分值40分）</w:t>
            </w:r>
          </w:p>
          <w:p w14:paraId="43A76C99">
            <w:pPr>
              <w:suppressAutoHyphens/>
              <w:adjustRightInd w:val="0"/>
              <w:snapToGrid w:val="0"/>
              <w:jc w:val="center"/>
              <w:textAlignment w:val="auto"/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  <w:t>（对比国际主要产品及技术参数指标）</w:t>
            </w:r>
          </w:p>
        </w:tc>
        <w:tc>
          <w:tcPr>
            <w:tcW w:w="6836" w:type="dxa"/>
            <w:noWrap/>
            <w:vAlign w:val="center"/>
          </w:tcPr>
          <w:p w14:paraId="08FE133C">
            <w:pPr>
              <w:suppressAutoHyphens/>
              <w:adjustRightInd w:val="0"/>
              <w:snapToGrid w:val="0"/>
              <w:textAlignment w:val="auto"/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  <w:t>高</w:t>
            </w:r>
            <w:r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  <w:t>：前沿引领技术、颠覆性技术、国际首创或国际领先（35—40分）</w:t>
            </w:r>
          </w:p>
        </w:tc>
      </w:tr>
      <w:tr w14:paraId="65271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217" w:type="dxa"/>
            <w:vMerge w:val="continue"/>
            <w:noWrap/>
            <w:vAlign w:val="center"/>
          </w:tcPr>
          <w:p w14:paraId="7B693F99">
            <w:pPr>
              <w:widowControl w:val="0"/>
              <w:textAlignment w:val="auto"/>
              <w:rPr>
                <w:rFonts w:asciiTheme="majorHAnsi" w:hAnsiTheme="majorHAnsi" w:eastAsiaTheme="minorHAnsi" w:cstheme="majorHAnsi"/>
                <w:sz w:val="28"/>
                <w:szCs w:val="28"/>
              </w:rPr>
            </w:pPr>
          </w:p>
        </w:tc>
        <w:tc>
          <w:tcPr>
            <w:tcW w:w="6836" w:type="dxa"/>
            <w:noWrap/>
            <w:vAlign w:val="center"/>
          </w:tcPr>
          <w:p w14:paraId="0FB9C77F">
            <w:pPr>
              <w:suppressAutoHyphens/>
              <w:adjustRightInd w:val="0"/>
              <w:snapToGrid w:val="0"/>
              <w:textAlignment w:val="auto"/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  <w:t>较高</w:t>
            </w:r>
            <w:r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  <w:t>：实现进口替代，且解决关键“卡脖子”问题（25—34分）</w:t>
            </w:r>
          </w:p>
        </w:tc>
      </w:tr>
      <w:tr w14:paraId="5D0CA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217" w:type="dxa"/>
            <w:vMerge w:val="continue"/>
            <w:noWrap/>
            <w:vAlign w:val="center"/>
          </w:tcPr>
          <w:p w14:paraId="26BC751F">
            <w:pPr>
              <w:widowControl w:val="0"/>
              <w:textAlignment w:val="auto"/>
              <w:rPr>
                <w:rFonts w:asciiTheme="majorHAnsi" w:hAnsiTheme="majorHAnsi" w:eastAsiaTheme="minorHAnsi" w:cstheme="majorHAnsi"/>
                <w:sz w:val="28"/>
                <w:szCs w:val="28"/>
              </w:rPr>
            </w:pPr>
          </w:p>
        </w:tc>
        <w:tc>
          <w:tcPr>
            <w:tcW w:w="6836" w:type="dxa"/>
            <w:noWrap/>
            <w:vAlign w:val="center"/>
          </w:tcPr>
          <w:p w14:paraId="26E5E847">
            <w:pPr>
              <w:suppressAutoHyphens/>
              <w:adjustRightInd w:val="0"/>
              <w:snapToGrid w:val="0"/>
              <w:textAlignment w:val="auto"/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  <w:t>中</w:t>
            </w:r>
            <w:r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  <w:t>：实现进口替代，非“卡脖子”问题（10—24分）</w:t>
            </w:r>
          </w:p>
        </w:tc>
      </w:tr>
      <w:tr w14:paraId="30995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217" w:type="dxa"/>
            <w:vMerge w:val="continue"/>
            <w:noWrap/>
            <w:vAlign w:val="center"/>
          </w:tcPr>
          <w:p w14:paraId="486C4A0F">
            <w:pPr>
              <w:widowControl w:val="0"/>
              <w:textAlignment w:val="auto"/>
              <w:rPr>
                <w:rFonts w:asciiTheme="majorHAnsi" w:hAnsiTheme="majorHAnsi" w:eastAsiaTheme="minorHAnsi" w:cstheme="majorHAnsi"/>
                <w:sz w:val="28"/>
                <w:szCs w:val="28"/>
              </w:rPr>
            </w:pPr>
          </w:p>
        </w:tc>
        <w:tc>
          <w:tcPr>
            <w:tcW w:w="6836" w:type="dxa"/>
            <w:noWrap/>
            <w:vAlign w:val="center"/>
          </w:tcPr>
          <w:p w14:paraId="7D61EBA0">
            <w:pPr>
              <w:suppressAutoHyphens/>
              <w:adjustRightInd w:val="0"/>
              <w:snapToGrid w:val="0"/>
              <w:textAlignment w:val="auto"/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  <w:t>低</w:t>
            </w:r>
            <w:r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  <w:t>：常规技术（0—9分）</w:t>
            </w:r>
          </w:p>
        </w:tc>
      </w:tr>
      <w:tr w14:paraId="63B7A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217" w:type="dxa"/>
            <w:vMerge w:val="restart"/>
            <w:noWrap/>
            <w:vAlign w:val="center"/>
          </w:tcPr>
          <w:p w14:paraId="050208E8">
            <w:pPr>
              <w:suppressAutoHyphens/>
              <w:adjustRightInd w:val="0"/>
              <w:snapToGrid w:val="0"/>
              <w:jc w:val="center"/>
              <w:textAlignment w:val="auto"/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  <w:t>成果形式</w:t>
            </w:r>
          </w:p>
          <w:p w14:paraId="3A1C598A">
            <w:pPr>
              <w:suppressAutoHyphens/>
              <w:adjustRightInd w:val="0"/>
              <w:snapToGrid w:val="0"/>
              <w:jc w:val="center"/>
              <w:textAlignment w:val="auto"/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  <w:t>（分值20分）</w:t>
            </w:r>
          </w:p>
        </w:tc>
        <w:tc>
          <w:tcPr>
            <w:tcW w:w="6836" w:type="dxa"/>
            <w:noWrap/>
            <w:vAlign w:val="center"/>
          </w:tcPr>
          <w:p w14:paraId="6CA3D1E1">
            <w:pPr>
              <w:suppressAutoHyphens/>
              <w:adjustRightInd w:val="0"/>
              <w:snapToGrid w:val="0"/>
              <w:textAlignment w:val="auto"/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  <w:t>有独立成套（件）的关键产品设备及核心元器件（15—20分）</w:t>
            </w:r>
          </w:p>
        </w:tc>
      </w:tr>
      <w:tr w14:paraId="3B3436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217" w:type="dxa"/>
            <w:vMerge w:val="continue"/>
            <w:noWrap/>
            <w:vAlign w:val="center"/>
          </w:tcPr>
          <w:p w14:paraId="16B2A9B6">
            <w:pPr>
              <w:widowControl w:val="0"/>
              <w:textAlignment w:val="auto"/>
              <w:rPr>
                <w:rFonts w:asciiTheme="majorHAnsi" w:hAnsiTheme="majorHAnsi" w:eastAsiaTheme="minorHAnsi" w:cstheme="majorHAnsi"/>
                <w:sz w:val="28"/>
                <w:szCs w:val="28"/>
              </w:rPr>
            </w:pPr>
          </w:p>
        </w:tc>
        <w:tc>
          <w:tcPr>
            <w:tcW w:w="6836" w:type="dxa"/>
            <w:noWrap/>
            <w:vAlign w:val="center"/>
          </w:tcPr>
          <w:p w14:paraId="5F257632">
            <w:pPr>
              <w:suppressAutoHyphens/>
              <w:adjustRightInd w:val="0"/>
              <w:snapToGrid w:val="0"/>
              <w:textAlignment w:val="auto"/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  <w:t>关键新材料、成套系统或应用软件、动植物新品种、新药等（0—14分）</w:t>
            </w:r>
          </w:p>
        </w:tc>
      </w:tr>
      <w:tr w14:paraId="5D907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217" w:type="dxa"/>
            <w:vMerge w:val="restart"/>
            <w:noWrap/>
            <w:vAlign w:val="center"/>
          </w:tcPr>
          <w:p w14:paraId="5D0E55C6">
            <w:pPr>
              <w:suppressAutoHyphens/>
              <w:adjustRightInd w:val="0"/>
              <w:snapToGrid w:val="0"/>
              <w:jc w:val="center"/>
              <w:textAlignment w:val="auto"/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  <w:t>市场前景</w:t>
            </w:r>
          </w:p>
          <w:p w14:paraId="09FD8472">
            <w:pPr>
              <w:suppressAutoHyphens/>
              <w:adjustRightInd w:val="0"/>
              <w:snapToGrid w:val="0"/>
              <w:jc w:val="center"/>
              <w:textAlignment w:val="auto"/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  <w:t>（分值20分）</w:t>
            </w:r>
          </w:p>
        </w:tc>
        <w:tc>
          <w:tcPr>
            <w:tcW w:w="6836" w:type="dxa"/>
            <w:noWrap/>
            <w:vAlign w:val="center"/>
          </w:tcPr>
          <w:p w14:paraId="5DCEB206">
            <w:pPr>
              <w:suppressAutoHyphens/>
              <w:adjustRightInd w:val="0"/>
              <w:snapToGrid w:val="0"/>
              <w:textAlignment w:val="auto"/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  <w:t>高</w:t>
            </w:r>
            <w:r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  <w:t>：有重大产业化价值，市场容量巨大，规模化生产和常态化应用前景非常广阔（15—20分）</w:t>
            </w:r>
          </w:p>
        </w:tc>
      </w:tr>
      <w:tr w14:paraId="11824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217" w:type="dxa"/>
            <w:vMerge w:val="continue"/>
            <w:noWrap/>
            <w:vAlign w:val="center"/>
          </w:tcPr>
          <w:p w14:paraId="0AD535BF">
            <w:pPr>
              <w:widowControl w:val="0"/>
              <w:textAlignment w:val="auto"/>
              <w:rPr>
                <w:rFonts w:asciiTheme="majorHAnsi" w:hAnsiTheme="majorHAnsi" w:eastAsiaTheme="minorHAnsi" w:cstheme="majorHAnsi"/>
                <w:sz w:val="28"/>
                <w:szCs w:val="28"/>
              </w:rPr>
            </w:pPr>
          </w:p>
        </w:tc>
        <w:tc>
          <w:tcPr>
            <w:tcW w:w="6836" w:type="dxa"/>
            <w:noWrap/>
            <w:vAlign w:val="center"/>
          </w:tcPr>
          <w:p w14:paraId="307B9EA7">
            <w:pPr>
              <w:suppressAutoHyphens/>
              <w:adjustRightInd w:val="0"/>
              <w:snapToGrid w:val="0"/>
              <w:textAlignment w:val="auto"/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  <w:t>中</w:t>
            </w:r>
            <w:r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  <w:t>：有较强产业化价值，市场容量较大，规模化生产和常态化应用前景较为广阔（10—14分）</w:t>
            </w:r>
          </w:p>
        </w:tc>
      </w:tr>
      <w:tr w14:paraId="4A4F1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217" w:type="dxa"/>
            <w:vMerge w:val="continue"/>
            <w:noWrap/>
            <w:vAlign w:val="center"/>
          </w:tcPr>
          <w:p w14:paraId="4D845EA6">
            <w:pPr>
              <w:widowControl w:val="0"/>
              <w:textAlignment w:val="auto"/>
              <w:rPr>
                <w:rFonts w:asciiTheme="majorHAnsi" w:hAnsiTheme="majorHAnsi" w:eastAsiaTheme="minorHAnsi" w:cstheme="majorHAnsi"/>
                <w:sz w:val="28"/>
                <w:szCs w:val="28"/>
              </w:rPr>
            </w:pPr>
          </w:p>
        </w:tc>
        <w:tc>
          <w:tcPr>
            <w:tcW w:w="6836" w:type="dxa"/>
            <w:noWrap/>
            <w:vAlign w:val="center"/>
          </w:tcPr>
          <w:p w14:paraId="6A2FE41D">
            <w:pPr>
              <w:suppressAutoHyphens/>
              <w:adjustRightInd w:val="0"/>
              <w:snapToGrid w:val="0"/>
              <w:textAlignment w:val="auto"/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  <w:t>低</w:t>
            </w:r>
            <w:r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  <w:t>：有一定产业化价值，在部分产业领域有一定的规模化生产和常态化应用前景（0—9分）</w:t>
            </w:r>
          </w:p>
        </w:tc>
      </w:tr>
      <w:tr w14:paraId="0305C6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217" w:type="dxa"/>
            <w:vMerge w:val="restart"/>
            <w:noWrap/>
            <w:vAlign w:val="center"/>
          </w:tcPr>
          <w:p w14:paraId="5715C721">
            <w:pPr>
              <w:suppressAutoHyphens/>
              <w:adjustRightInd w:val="0"/>
              <w:snapToGrid w:val="0"/>
              <w:jc w:val="center"/>
              <w:textAlignment w:val="auto"/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  <w:t>企业配套能力（分值20分）</w:t>
            </w:r>
          </w:p>
        </w:tc>
        <w:tc>
          <w:tcPr>
            <w:tcW w:w="6836" w:type="dxa"/>
            <w:noWrap/>
            <w:vAlign w:val="center"/>
          </w:tcPr>
          <w:p w14:paraId="79851F11">
            <w:pPr>
              <w:suppressAutoHyphens/>
              <w:adjustRightInd w:val="0"/>
              <w:snapToGrid w:val="0"/>
              <w:textAlignment w:val="auto"/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  <w:t>高</w:t>
            </w:r>
            <w:r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  <w:t>：企业经营状况优异，研发投入资金充裕，高度匹配项目研发工作（15—20分）</w:t>
            </w:r>
          </w:p>
        </w:tc>
      </w:tr>
      <w:tr w14:paraId="5FC7D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2217" w:type="dxa"/>
            <w:vMerge w:val="continue"/>
            <w:noWrap/>
          </w:tcPr>
          <w:p w14:paraId="0F9B7D4E">
            <w:pPr>
              <w:widowControl w:val="0"/>
              <w:textAlignment w:val="auto"/>
              <w:rPr>
                <w:rFonts w:asciiTheme="majorHAnsi" w:hAnsiTheme="majorHAnsi" w:eastAsiaTheme="minorHAnsi" w:cstheme="majorHAnsi"/>
                <w:sz w:val="28"/>
                <w:szCs w:val="28"/>
              </w:rPr>
            </w:pPr>
          </w:p>
        </w:tc>
        <w:tc>
          <w:tcPr>
            <w:tcW w:w="6836" w:type="dxa"/>
            <w:noWrap/>
            <w:vAlign w:val="center"/>
          </w:tcPr>
          <w:p w14:paraId="5B22C40C">
            <w:pPr>
              <w:suppressAutoHyphens/>
              <w:adjustRightInd w:val="0"/>
              <w:snapToGrid w:val="0"/>
              <w:textAlignment w:val="auto"/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  <w:t>中</w:t>
            </w:r>
            <w:r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  <w:t>：企业经营状况良好，有较大研发投入资金，较好匹配项目研发工作（10—14分）</w:t>
            </w:r>
          </w:p>
        </w:tc>
      </w:tr>
      <w:tr w14:paraId="7726F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2217" w:type="dxa"/>
            <w:vMerge w:val="continue"/>
            <w:noWrap/>
          </w:tcPr>
          <w:p w14:paraId="11D0FF47">
            <w:pPr>
              <w:widowControl w:val="0"/>
              <w:textAlignment w:val="auto"/>
              <w:rPr>
                <w:rFonts w:asciiTheme="majorHAnsi" w:hAnsiTheme="majorHAnsi" w:eastAsiaTheme="minorHAnsi" w:cstheme="majorHAnsi"/>
                <w:sz w:val="28"/>
                <w:szCs w:val="28"/>
              </w:rPr>
            </w:pPr>
          </w:p>
        </w:tc>
        <w:tc>
          <w:tcPr>
            <w:tcW w:w="6836" w:type="dxa"/>
            <w:noWrap/>
            <w:vAlign w:val="center"/>
          </w:tcPr>
          <w:p w14:paraId="19DE1060">
            <w:pPr>
              <w:suppressAutoHyphens/>
              <w:adjustRightInd w:val="0"/>
              <w:snapToGrid w:val="0"/>
              <w:textAlignment w:val="auto"/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</w:pPr>
            <w:r>
              <w:rPr>
                <w:rFonts w:asciiTheme="majorHAnsi" w:hAnsiTheme="majorHAnsi" w:eastAsiaTheme="minorHAnsi" w:cstheme="majorHAnsi"/>
                <w:b/>
                <w:bCs/>
                <w:kern w:val="0"/>
                <w:sz w:val="28"/>
                <w:szCs w:val="28"/>
              </w:rPr>
              <w:t>低</w:t>
            </w:r>
            <w:r>
              <w:rPr>
                <w:rFonts w:asciiTheme="majorHAnsi" w:hAnsiTheme="majorHAnsi" w:eastAsiaTheme="minorHAnsi" w:cstheme="majorHAnsi"/>
                <w:kern w:val="0"/>
                <w:sz w:val="28"/>
                <w:szCs w:val="28"/>
              </w:rPr>
              <w:t>：企业经营状况一般，有一定研发投入资金，与项目研发工作有一定匹配度（0—9分）</w:t>
            </w:r>
          </w:p>
        </w:tc>
      </w:tr>
    </w:tbl>
    <w:p w14:paraId="40FD300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8751C5B-67AF-422A-A959-F3A30CAAC10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2" w:fontKey="{AED1397C-836C-4AED-818A-9D781853A64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Monaco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5DA3126E-3D7F-439A-A697-99C0B2B23E74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5"/>
  <w:bordersDoNotSurroundHeader w:val="1"/>
  <w:bordersDoNotSurroundFooter w:val="1"/>
  <w:documentProtection w:enforcement="0"/>
  <w:defaultTabStop w:val="420"/>
  <w:drawingGridHorizontalSpacing w:val="158"/>
  <w:drawingGridVerticalSpacing w:val="579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363"/>
    <w:rsid w:val="0000246D"/>
    <w:rsid w:val="001A7921"/>
    <w:rsid w:val="002235BD"/>
    <w:rsid w:val="00286363"/>
    <w:rsid w:val="002B1EF0"/>
    <w:rsid w:val="002F0DBE"/>
    <w:rsid w:val="00415FF6"/>
    <w:rsid w:val="004E69B8"/>
    <w:rsid w:val="005B60DB"/>
    <w:rsid w:val="00762AD9"/>
    <w:rsid w:val="00BE5481"/>
    <w:rsid w:val="00C657D9"/>
    <w:rsid w:val="00CB01C0"/>
    <w:rsid w:val="00CD6B24"/>
    <w:rsid w:val="00D71BDE"/>
    <w:rsid w:val="00D8457E"/>
    <w:rsid w:val="00DF4145"/>
    <w:rsid w:val="00E33C14"/>
    <w:rsid w:val="00E746D2"/>
    <w:rsid w:val="0BEC5EFA"/>
    <w:rsid w:val="4DBA7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napToGrid/>
      <w:spacing w:line="240" w:lineRule="auto"/>
      <w:jc w:val="both"/>
      <w:textAlignment w:val="baseline"/>
    </w:pPr>
    <w:rPr>
      <w:rFonts w:ascii="Calibri" w:hAnsi="Calibri" w:eastAsia="仿宋" w:cs="Arial"/>
      <w:color w:val="auto"/>
      <w:kern w:val="2"/>
      <w:sz w:val="32"/>
      <w:szCs w:val="24"/>
      <w:lang w:val="en-US" w:eastAsia="zh-CN" w:bidi="ar-SA"/>
      <w14:ligatures w14:val="standardContextual"/>
    </w:rPr>
  </w:style>
  <w:style w:type="paragraph" w:styleId="4">
    <w:name w:val="heading 1"/>
    <w:basedOn w:val="1"/>
    <w:next w:val="1"/>
    <w:link w:val="15"/>
    <w:qFormat/>
    <w:uiPriority w:val="9"/>
    <w:pPr>
      <w:keepNext/>
      <w:keepLines/>
      <w:spacing w:line="408" w:lineRule="auto"/>
      <w:outlineLvl w:val="0"/>
    </w:pPr>
    <w:rPr>
      <w:b/>
      <w:bCs/>
      <w:color w:val="1A1A1A"/>
      <w:sz w:val="36"/>
      <w:szCs w:val="36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link w:val="33"/>
    <w:semiHidden/>
    <w:unhideWhenUsed/>
    <w:uiPriority w:val="99"/>
    <w:pPr>
      <w:ind w:firstLine="420" w:firstLineChars="100"/>
    </w:pPr>
  </w:style>
  <w:style w:type="paragraph" w:styleId="3">
    <w:name w:val="Body Text"/>
    <w:basedOn w:val="1"/>
    <w:link w:val="32"/>
    <w:semiHidden/>
    <w:unhideWhenUsed/>
    <w:uiPriority w:val="99"/>
    <w:pPr>
      <w:spacing w:after="120"/>
    </w:pPr>
  </w:style>
  <w:style w:type="paragraph" w:styleId="5">
    <w:name w:val="footer"/>
    <w:basedOn w:val="1"/>
    <w:link w:val="17"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7">
    <w:name w:val="Title"/>
    <w:basedOn w:val="1"/>
    <w:next w:val="1"/>
    <w:link w:val="18"/>
    <w:qFormat/>
    <w:uiPriority w:val="9"/>
    <w:pPr>
      <w:keepNext/>
      <w:keepLines/>
      <w:spacing w:line="408" w:lineRule="auto"/>
      <w:jc w:val="center"/>
      <w:outlineLvl w:val="0"/>
    </w:pPr>
    <w:rPr>
      <w:b/>
      <w:bCs/>
      <w:color w:val="1A1A1A"/>
      <w:sz w:val="48"/>
      <w:szCs w:val="48"/>
    </w:rPr>
  </w:style>
  <w:style w:type="table" w:styleId="9">
    <w:name w:val="Table Grid"/>
    <w:basedOn w:val="8"/>
    <w:uiPriority w:val="39"/>
    <w:pPr>
      <w:spacing w:before="60" w:after="60" w:line="312" w:lineRule="auto"/>
    </w:pPr>
    <w:rPr>
      <w:sz w:val="22"/>
    </w:rPr>
    <w:tblPr>
      <w:tblBorders>
        <w:top w:val="single" w:color="CBCDD1" w:sz="6" w:space="0"/>
        <w:left w:val="single" w:color="CBCDD1" w:sz="6" w:space="0"/>
        <w:bottom w:val="single" w:color="CBCDD1" w:sz="6" w:space="0"/>
        <w:right w:val="single" w:color="CBCDD1" w:sz="6" w:space="0"/>
        <w:insideH w:val="single" w:color="CBCDD1" w:sz="6" w:space="0"/>
        <w:insideV w:val="single" w:color="CBCDD1" w:sz="6" w:space="0"/>
      </w:tblBorders>
    </w:tblPr>
    <w:tcPr>
      <w:vAlign w:val="center"/>
    </w:tcPr>
  </w:style>
  <w:style w:type="character" w:styleId="11">
    <w:name w:val="Hyperlink"/>
    <w:basedOn w:val="10"/>
    <w:unhideWhenUsed/>
    <w:uiPriority w:val="99"/>
    <w:rPr>
      <w:color w:val="467886" w:themeColor="hyperlink"/>
      <w:u w:val="single"/>
    </w:rPr>
  </w:style>
  <w:style w:type="character" w:customStyle="1" w:styleId="12">
    <w:name w:val="melo-codeblock-Base-theme-char"/>
    <w:uiPriority w:val="0"/>
    <w:rPr>
      <w:rFonts w:ascii="Monaco" w:hAnsi="Monaco" w:eastAsia="Monaco" w:cs="Monaco"/>
      <w:color w:val="000000"/>
      <w:sz w:val="21"/>
    </w:rPr>
  </w:style>
  <w:style w:type="paragraph" w:customStyle="1" w:styleId="13">
    <w:name w:val="melo-codeblock-Base-theme-para"/>
    <w:basedOn w:val="1"/>
    <w:uiPriority w:val="0"/>
    <w:rPr>
      <w:rFonts w:ascii="Monaco" w:hAnsi="Monaco" w:eastAsia="Monaco" w:cs="Monaco"/>
      <w:color w:val="000000"/>
      <w:sz w:val="21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  <w:rPr>
      <w:sz w:val="21"/>
    </w:rPr>
  </w:style>
  <w:style w:type="character" w:customStyle="1" w:styleId="15">
    <w:name w:val="标题 1 字符"/>
    <w:basedOn w:val="10"/>
    <w:link w:val="4"/>
    <w:uiPriority w:val="9"/>
    <w:rPr>
      <w:rFonts w:eastAsia="仿宋"/>
      <w:b/>
      <w:bCs/>
      <w:color w:val="1A1A1A"/>
      <w:sz w:val="36"/>
      <w:szCs w:val="36"/>
    </w:rPr>
  </w:style>
  <w:style w:type="character" w:customStyle="1" w:styleId="16">
    <w:name w:val="页眉 字符"/>
    <w:basedOn w:val="10"/>
    <w:link w:val="6"/>
    <w:uiPriority w:val="99"/>
    <w:rPr>
      <w:rFonts w:asciiTheme="minorHAnsi" w:hAnsiTheme="minorHAnsi" w:eastAsiaTheme="minorEastAsia"/>
      <w:color w:val="333333"/>
      <w:sz w:val="18"/>
      <w:szCs w:val="18"/>
    </w:rPr>
  </w:style>
  <w:style w:type="character" w:customStyle="1" w:styleId="17">
    <w:name w:val="页脚 字符"/>
    <w:basedOn w:val="10"/>
    <w:link w:val="5"/>
    <w:uiPriority w:val="99"/>
    <w:rPr>
      <w:rFonts w:asciiTheme="minorHAnsi" w:hAnsiTheme="minorHAnsi" w:eastAsiaTheme="minorEastAsia"/>
      <w:color w:val="333333"/>
      <w:sz w:val="18"/>
      <w:szCs w:val="18"/>
    </w:rPr>
  </w:style>
  <w:style w:type="character" w:customStyle="1" w:styleId="18">
    <w:name w:val="标题 字符"/>
    <w:basedOn w:val="10"/>
    <w:link w:val="7"/>
    <w:uiPriority w:val="9"/>
    <w:rPr>
      <w:rFonts w:eastAsia="仿宋"/>
      <w:b/>
      <w:bCs/>
      <w:color w:val="1A1A1A"/>
      <w:sz w:val="48"/>
      <w:szCs w:val="48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基准"/>
    <w:qFormat/>
    <w:uiPriority w:val="0"/>
    <w:pPr>
      <w:adjustRightInd w:val="0"/>
      <w:snapToGrid w:val="0"/>
      <w:spacing w:line="360" w:lineRule="auto"/>
      <w:jc w:val="both"/>
    </w:pPr>
    <w:rPr>
      <w:rFonts w:ascii="仿宋_GB2312" w:hAnsi="华文中宋" w:eastAsia="仿宋_GB2312" w:cs="宋体"/>
      <w:bCs/>
      <w:color w:val="000000"/>
      <w:kern w:val="2"/>
      <w:sz w:val="30"/>
      <w:szCs w:val="24"/>
      <w:lang w:val="en-US" w:eastAsia="zh-CN" w:bidi="ar-SA"/>
      <w14:ligatures w14:val="standardContextual"/>
    </w:rPr>
  </w:style>
  <w:style w:type="paragraph" w:customStyle="1" w:styleId="21">
    <w:name w:val="论文1级标题"/>
    <w:basedOn w:val="20"/>
    <w:next w:val="1"/>
    <w:autoRedefine/>
    <w:qFormat/>
    <w:uiPriority w:val="0"/>
    <w:pPr>
      <w:keepNext/>
      <w:pageBreakBefore/>
      <w:snapToGrid/>
      <w:spacing w:before="156" w:beforeLines="50" w:after="156" w:afterLines="50" w:line="240" w:lineRule="auto"/>
      <w:contextualSpacing/>
      <w:jc w:val="center"/>
      <w:outlineLvl w:val="0"/>
    </w:pPr>
    <w:rPr>
      <w:rFonts w:ascii="Times New Roman" w:hAnsi="Times New Roman" w:eastAsia="黑体"/>
      <w:b/>
      <w:sz w:val="36"/>
      <w:szCs w:val="36"/>
    </w:rPr>
  </w:style>
  <w:style w:type="paragraph" w:customStyle="1" w:styleId="22">
    <w:name w:val="论文2级标题"/>
    <w:basedOn w:val="20"/>
    <w:next w:val="1"/>
    <w:qFormat/>
    <w:uiPriority w:val="0"/>
    <w:pPr>
      <w:keepNext/>
      <w:spacing w:before="50" w:beforeLines="50" w:after="50" w:afterLines="50" w:line="240" w:lineRule="auto"/>
      <w:contextualSpacing/>
      <w:outlineLvl w:val="1"/>
    </w:pPr>
    <w:rPr>
      <w:rFonts w:ascii="Times New Roman" w:hAnsi="Times New Roman" w:eastAsia="黑体"/>
      <w:b/>
      <w:sz w:val="28"/>
      <w:szCs w:val="28"/>
    </w:rPr>
  </w:style>
  <w:style w:type="paragraph" w:customStyle="1" w:styleId="23">
    <w:name w:val="论文3级标题"/>
    <w:basedOn w:val="20"/>
    <w:next w:val="1"/>
    <w:qFormat/>
    <w:uiPriority w:val="0"/>
    <w:pPr>
      <w:keepNext/>
      <w:spacing w:before="50" w:beforeLines="50" w:after="50" w:afterLines="50" w:line="240" w:lineRule="auto"/>
      <w:contextualSpacing/>
      <w:outlineLvl w:val="2"/>
    </w:pPr>
    <w:rPr>
      <w:rFonts w:ascii="Times New Roman" w:hAnsi="Times New Roman" w:eastAsia="黑体"/>
      <w:b/>
      <w:sz w:val="24"/>
      <w:szCs w:val="28"/>
    </w:rPr>
  </w:style>
  <w:style w:type="paragraph" w:customStyle="1" w:styleId="24">
    <w:name w:val="论文表标题"/>
    <w:basedOn w:val="20"/>
    <w:next w:val="20"/>
    <w:qFormat/>
    <w:uiPriority w:val="0"/>
    <w:pPr>
      <w:keepNext/>
      <w:spacing w:line="300" w:lineRule="exact"/>
      <w:jc w:val="center"/>
    </w:pPr>
    <w:rPr>
      <w:rFonts w:ascii="Times New Roman" w:hAnsi="Times New Roman" w:eastAsia="黑体"/>
      <w:sz w:val="24"/>
    </w:rPr>
  </w:style>
  <w:style w:type="table" w:customStyle="1" w:styleId="25">
    <w:name w:val="论文表内容"/>
    <w:basedOn w:val="26"/>
    <w:uiPriority w:val="99"/>
    <w:pPr>
      <w:snapToGrid/>
      <w:jc w:val="center"/>
    </w:pPr>
    <w:rPr>
      <w:rFonts w:ascii="Times New Roman" w:hAnsi="Times New Roman" w:eastAsia="宋体" w:cs="Times New Roman"/>
      <w:color w:val="auto"/>
      <w:kern w:val="0"/>
      <w:sz w:val="21"/>
      <w:szCs w:val="20"/>
    </w:rPr>
    <w:tblPr>
      <w:tblBorders>
        <w:top w:val="single" w:color="auto" w:sz="12" w:space="0"/>
        <w:bottom w:val="single" w:color="auto" w:sz="12" w:space="0"/>
        <w:insideH w:val="single" w:color="auto" w:sz="4" w:space="0"/>
      </w:tblBorders>
    </w:tblPr>
    <w:tcPr>
      <w:vAlign w:val="center"/>
    </w:tcPr>
  </w:style>
  <w:style w:type="table" w:customStyle="1" w:styleId="26">
    <w:name w:val="Grid Table Light"/>
    <w:basedOn w:val="8"/>
    <w:uiPriority w:val="40"/>
    <w:pPr>
      <w:spacing w:line="240" w:lineRule="auto"/>
    </w:pPr>
    <w:tblPr>
      <w:tblBorders>
        <w:top w:val="single" w:color="BEBEBE" w:themeColor="background1" w:themeShade="BF" w:sz="4" w:space="0"/>
        <w:left w:val="single" w:color="BEBEBE" w:themeColor="background1" w:themeShade="BF" w:sz="4" w:space="0"/>
        <w:bottom w:val="single" w:color="BEBEBE" w:themeColor="background1" w:themeShade="BF" w:sz="4" w:space="0"/>
        <w:right w:val="single" w:color="BEBEBE" w:themeColor="background1" w:themeShade="BF" w:sz="4" w:space="0"/>
        <w:insideH w:val="single" w:color="BEBEBE" w:themeColor="background1" w:themeShade="BF" w:sz="4" w:space="0"/>
        <w:insideV w:val="single" w:color="BEBEBE" w:themeColor="background1" w:themeShade="BF" w:sz="4" w:space="0"/>
      </w:tblBorders>
    </w:tblPr>
  </w:style>
  <w:style w:type="paragraph" w:customStyle="1" w:styleId="27">
    <w:name w:val="论文公式"/>
    <w:basedOn w:val="20"/>
    <w:next w:val="1"/>
    <w:link w:val="28"/>
    <w:autoRedefine/>
    <w:qFormat/>
    <w:uiPriority w:val="0"/>
    <w:pPr>
      <w:tabs>
        <w:tab w:val="center" w:pos="4200"/>
        <w:tab w:val="right" w:pos="8190"/>
      </w:tabs>
      <w:jc w:val="center"/>
      <w:textAlignment w:val="center"/>
    </w:pPr>
    <w:rPr>
      <w:rFonts w:ascii="Cambria Math" w:hAnsi="Cambria Math" w:eastAsia="宋体"/>
      <w:i/>
      <w:sz w:val="24"/>
    </w:rPr>
  </w:style>
  <w:style w:type="character" w:customStyle="1" w:styleId="28">
    <w:name w:val="论文公式 字符"/>
    <w:basedOn w:val="10"/>
    <w:link w:val="27"/>
    <w:uiPriority w:val="0"/>
    <w:rPr>
      <w:rFonts w:ascii="Cambria Math" w:hAnsi="Cambria Math" w:eastAsia="宋体" w:cs="宋体"/>
      <w:bCs/>
      <w:i/>
      <w:color w:val="000000"/>
    </w:rPr>
  </w:style>
  <w:style w:type="paragraph" w:customStyle="1" w:styleId="29">
    <w:name w:val="论文图标题"/>
    <w:basedOn w:val="20"/>
    <w:next w:val="1"/>
    <w:qFormat/>
    <w:uiPriority w:val="0"/>
    <w:pPr>
      <w:jc w:val="center"/>
    </w:pPr>
    <w:rPr>
      <w:rFonts w:ascii="Times New Roman" w:hAnsi="Times New Roman" w:eastAsia="黑体"/>
      <w:sz w:val="24"/>
    </w:rPr>
  </w:style>
  <w:style w:type="paragraph" w:customStyle="1" w:styleId="30">
    <w:name w:val="论文图片"/>
    <w:basedOn w:val="20"/>
    <w:next w:val="29"/>
    <w:qFormat/>
    <w:uiPriority w:val="0"/>
    <w:pPr>
      <w:keepNext/>
      <w:jc w:val="center"/>
    </w:pPr>
    <w:rPr>
      <w:rFonts w:ascii="Times New Roman" w:hAnsi="Times New Roman" w:eastAsia="宋体"/>
      <w:sz w:val="28"/>
      <w:szCs w:val="21"/>
    </w:rPr>
  </w:style>
  <w:style w:type="paragraph" w:customStyle="1" w:styleId="31">
    <w:name w:val="论文正文"/>
    <w:basedOn w:val="20"/>
    <w:qFormat/>
    <w:uiPriority w:val="0"/>
    <w:pPr>
      <w:snapToGrid/>
      <w:ind w:firstLine="200" w:firstLineChars="200"/>
      <w:contextualSpacing/>
    </w:pPr>
    <w:rPr>
      <w:rFonts w:ascii="Times New Roman" w:hAnsi="Times New Roman" w:eastAsia="宋体"/>
      <w:bCs w:val="0"/>
      <w:sz w:val="24"/>
    </w:rPr>
  </w:style>
  <w:style w:type="character" w:customStyle="1" w:styleId="32">
    <w:name w:val="正文文本 字符"/>
    <w:basedOn w:val="10"/>
    <w:link w:val="3"/>
    <w:semiHidden/>
    <w:uiPriority w:val="99"/>
    <w:rPr>
      <w:rFonts w:ascii="Calibri" w:hAnsi="Calibri" w:eastAsia="宋体" w:cs="Arial"/>
      <w:color w:val="auto"/>
      <w:sz w:val="21"/>
      <w14:ligatures w14:val="none"/>
    </w:rPr>
  </w:style>
  <w:style w:type="character" w:customStyle="1" w:styleId="33">
    <w:name w:val="正文文本首行缩进 字符"/>
    <w:basedOn w:val="32"/>
    <w:link w:val="2"/>
    <w:semiHidden/>
    <w:uiPriority w:val="99"/>
    <w:rPr>
      <w:rFonts w:ascii="Calibri" w:hAnsi="Calibri" w:eastAsia="宋体" w:cs="Arial"/>
      <w:color w:val="auto"/>
      <w:sz w:val="21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1">
      <a:majorFont>
        <a:latin typeface="Times New Roman"/>
        <a:ea typeface="黑体"/>
        <a:cs typeface=""/>
      </a:majorFont>
      <a:minorFont>
        <a:latin typeface="仿宋_GB2312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458</Words>
  <Characters>503</Characters>
  <Lines>3</Lines>
  <Paragraphs>1</Paragraphs>
  <TotalTime>243</TotalTime>
  <ScaleCrop>false</ScaleCrop>
  <LinksUpToDate>false</LinksUpToDate>
  <CharactersWithSpaces>503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2024-08-07T02:35:00Z</dcterms:created>
  <dc:creator>郭仁辉</dc:creator>
  <cp:lastModifiedBy>素琴</cp:lastModifiedBy>
  <cp:lastPrinted>2024-08-21T01:25:00Z</cp:lastPrinted>
  <dcterms:modified xsi:type="dcterms:W3CDTF">2025-06-03T01:37:15Z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2D5981BBD3264673BBFBAE380F2B412D_13</vt:lpwstr>
  </property>
</Properties>
</file>